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9A" w:rsidRPr="00B60FE1" w:rsidRDefault="0023569A" w:rsidP="0023569A">
      <w:pPr>
        <w:spacing w:line="480" w:lineRule="exact"/>
        <w:jc w:val="center"/>
        <w:rPr>
          <w:rFonts w:eastAsia="標楷體"/>
          <w:b/>
          <w:sz w:val="36"/>
          <w:szCs w:val="28"/>
        </w:rPr>
      </w:pPr>
      <w:r w:rsidRPr="00B60FE1">
        <w:rPr>
          <w:rFonts w:eastAsia="標楷體"/>
          <w:b/>
          <w:sz w:val="36"/>
          <w:szCs w:val="28"/>
        </w:rPr>
        <w:t xml:space="preserve">National Taiwan University </w:t>
      </w:r>
      <w:r w:rsidR="00B60FE1" w:rsidRPr="00B60FE1">
        <w:rPr>
          <w:rFonts w:eastAsia="標楷體"/>
          <w:b/>
          <w:sz w:val="36"/>
          <w:szCs w:val="28"/>
        </w:rPr>
        <w:t>Visiting</w:t>
      </w:r>
      <w:r w:rsidR="007B562E" w:rsidRPr="00B60FE1">
        <w:rPr>
          <w:rFonts w:eastAsia="標楷體"/>
          <w:b/>
          <w:sz w:val="36"/>
          <w:szCs w:val="28"/>
        </w:rPr>
        <w:t xml:space="preserve"> Scholar Services and Fee Payment Policy</w:t>
      </w:r>
    </w:p>
    <w:p w:rsidR="007B562E" w:rsidRPr="00B60FE1" w:rsidRDefault="007B562E" w:rsidP="0023569A">
      <w:pPr>
        <w:spacing w:line="480" w:lineRule="exact"/>
        <w:jc w:val="center"/>
        <w:rPr>
          <w:rFonts w:eastAsia="標楷體"/>
        </w:rPr>
      </w:pPr>
    </w:p>
    <w:p w:rsidR="0023569A" w:rsidRPr="00B60FE1" w:rsidRDefault="0023569A" w:rsidP="007B562E">
      <w:pPr>
        <w:pStyle w:val="ListParagraph"/>
        <w:numPr>
          <w:ilvl w:val="0"/>
          <w:numId w:val="1"/>
        </w:numPr>
        <w:ind w:leftChars="0" w:left="567" w:hanging="567"/>
        <w:rPr>
          <w:rFonts w:eastAsia="標楷體"/>
        </w:rPr>
      </w:pPr>
      <w:r w:rsidRPr="00B60FE1">
        <w:rPr>
          <w:rFonts w:eastAsia="標楷體"/>
        </w:rPr>
        <w:t>The following regulations are set fo</w:t>
      </w:r>
      <w:r w:rsidR="007B562E" w:rsidRPr="00B60FE1">
        <w:rPr>
          <w:rFonts w:eastAsia="標楷體"/>
        </w:rPr>
        <w:t xml:space="preserve">r the purpose of clarifying the administrative </w:t>
      </w:r>
      <w:r w:rsidRPr="00B60FE1">
        <w:rPr>
          <w:rFonts w:eastAsia="標楷體"/>
        </w:rPr>
        <w:t xml:space="preserve">services and university resources obtained by </w:t>
      </w:r>
      <w:r w:rsidR="009C13C8" w:rsidRPr="00B60FE1">
        <w:rPr>
          <w:rFonts w:eastAsia="標楷體"/>
        </w:rPr>
        <w:t xml:space="preserve">incoming </w:t>
      </w:r>
      <w:r w:rsidR="007B562E" w:rsidRPr="00B60FE1">
        <w:rPr>
          <w:rFonts w:eastAsia="標楷體"/>
        </w:rPr>
        <w:t>international</w:t>
      </w:r>
      <w:r w:rsidRPr="00B60FE1">
        <w:rPr>
          <w:rFonts w:eastAsia="標楷體"/>
        </w:rPr>
        <w:t xml:space="preserve"> scholars.</w:t>
      </w:r>
    </w:p>
    <w:p w:rsidR="007B562E" w:rsidRPr="00B60FE1" w:rsidRDefault="007B562E" w:rsidP="007B562E">
      <w:pPr>
        <w:pStyle w:val="ListParagraph"/>
        <w:ind w:leftChars="0" w:left="567"/>
      </w:pPr>
    </w:p>
    <w:p w:rsidR="009A6476" w:rsidRPr="00B60FE1" w:rsidRDefault="007B562E" w:rsidP="0023569A">
      <w:pPr>
        <w:pStyle w:val="ListParagraph"/>
        <w:numPr>
          <w:ilvl w:val="0"/>
          <w:numId w:val="1"/>
        </w:numPr>
        <w:ind w:leftChars="0" w:left="567" w:hanging="567"/>
      </w:pPr>
      <w:r w:rsidRPr="00B60FE1">
        <w:rPr>
          <w:rFonts w:eastAsia="標楷體"/>
        </w:rPr>
        <w:t xml:space="preserve">A </w:t>
      </w:r>
      <w:r w:rsidR="00B60FE1" w:rsidRPr="00B60FE1">
        <w:rPr>
          <w:rFonts w:eastAsia="標楷體"/>
        </w:rPr>
        <w:t>visiting</w:t>
      </w:r>
      <w:r w:rsidRPr="00B60FE1">
        <w:rPr>
          <w:rFonts w:eastAsia="標楷體"/>
        </w:rPr>
        <w:t xml:space="preserve"> </w:t>
      </w:r>
      <w:r w:rsidR="0023569A" w:rsidRPr="00B60FE1">
        <w:rPr>
          <w:rFonts w:eastAsia="標楷體"/>
        </w:rPr>
        <w:t xml:space="preserve">scholar is a </w:t>
      </w:r>
      <w:r w:rsidR="00C000A0" w:rsidRPr="00B60FE1">
        <w:rPr>
          <w:rFonts w:eastAsia="標楷體"/>
        </w:rPr>
        <w:t>scholar</w:t>
      </w:r>
      <w:r w:rsidR="0023569A" w:rsidRPr="00B60FE1">
        <w:rPr>
          <w:rFonts w:eastAsia="標楷體"/>
        </w:rPr>
        <w:t xml:space="preserve"> who is not employed by </w:t>
      </w:r>
      <w:r w:rsidR="00BC660D" w:rsidRPr="00B60FE1">
        <w:rPr>
          <w:rFonts w:eastAsia="標楷體"/>
        </w:rPr>
        <w:t>National Taiwan University</w:t>
      </w:r>
      <w:r w:rsidR="0023569A" w:rsidRPr="00B60FE1">
        <w:rPr>
          <w:rFonts w:eastAsia="標楷體"/>
        </w:rPr>
        <w:t xml:space="preserve"> and neither invited under any </w:t>
      </w:r>
      <w:r w:rsidRPr="00B60FE1">
        <w:rPr>
          <w:rFonts w:eastAsia="標楷體"/>
        </w:rPr>
        <w:t>governmental or National Taiwan University’s project and/or policies</w:t>
      </w:r>
      <w:r w:rsidR="0023569A" w:rsidRPr="00B60FE1">
        <w:rPr>
          <w:rFonts w:eastAsia="標楷體"/>
        </w:rPr>
        <w:t xml:space="preserve">, and visits the university to conduct research with duration more than one month. </w:t>
      </w:r>
      <w:r w:rsidR="00B60FE1" w:rsidRPr="00B60FE1">
        <w:rPr>
          <w:rFonts w:eastAsia="標楷體"/>
        </w:rPr>
        <w:t>Visiting</w:t>
      </w:r>
      <w:r w:rsidR="0023569A" w:rsidRPr="00B60FE1">
        <w:rPr>
          <w:rFonts w:eastAsia="標楷體"/>
        </w:rPr>
        <w:t xml:space="preserve"> scholar</w:t>
      </w:r>
      <w:r w:rsidRPr="00B60FE1">
        <w:rPr>
          <w:rFonts w:eastAsia="標楷體"/>
        </w:rPr>
        <w:t>s are categorized into</w:t>
      </w:r>
      <w:r w:rsidR="0023569A" w:rsidRPr="00B60FE1">
        <w:rPr>
          <w:rFonts w:eastAsia="標楷體"/>
        </w:rPr>
        <w:t xml:space="preserve"> exchange scholar</w:t>
      </w:r>
      <w:r w:rsidRPr="00B60FE1">
        <w:rPr>
          <w:rFonts w:eastAsia="標楷體"/>
        </w:rPr>
        <w:t>s</w:t>
      </w:r>
      <w:r w:rsidR="0023569A" w:rsidRPr="00B60FE1">
        <w:rPr>
          <w:rFonts w:eastAsia="標楷體"/>
        </w:rPr>
        <w:t xml:space="preserve"> and non-exchange scholar</w:t>
      </w:r>
      <w:r w:rsidRPr="00B60FE1">
        <w:rPr>
          <w:rFonts w:eastAsia="標楷體"/>
        </w:rPr>
        <w:t>s</w:t>
      </w:r>
      <w:r w:rsidR="0023569A" w:rsidRPr="00B60FE1">
        <w:rPr>
          <w:rFonts w:eastAsia="標楷體"/>
        </w:rPr>
        <w:t>.</w:t>
      </w:r>
    </w:p>
    <w:p w:rsidR="0023569A" w:rsidRPr="00B60FE1" w:rsidRDefault="0023569A" w:rsidP="0023569A">
      <w:pPr>
        <w:pStyle w:val="ListParagraph"/>
        <w:numPr>
          <w:ilvl w:val="0"/>
          <w:numId w:val="2"/>
        </w:numPr>
        <w:ind w:leftChars="0"/>
      </w:pPr>
      <w:r w:rsidRPr="00B60FE1">
        <w:rPr>
          <w:rFonts w:eastAsia="標楷體"/>
        </w:rPr>
        <w:t xml:space="preserve">An exchange scholar </w:t>
      </w:r>
      <w:r w:rsidR="007B562E" w:rsidRPr="00B60FE1">
        <w:rPr>
          <w:rFonts w:eastAsia="標楷體"/>
        </w:rPr>
        <w:t xml:space="preserve">is </w:t>
      </w:r>
      <w:r w:rsidRPr="00B60FE1">
        <w:rPr>
          <w:rFonts w:eastAsia="標楷體"/>
        </w:rPr>
        <w:t xml:space="preserve">a scholar who is recommended by a partner institution under a bilateral agreement with </w:t>
      </w:r>
      <w:r w:rsidR="00BC660D" w:rsidRPr="00B60FE1">
        <w:rPr>
          <w:rFonts w:eastAsia="標楷體"/>
        </w:rPr>
        <w:t>National Taiwan University</w:t>
      </w:r>
      <w:r w:rsidRPr="00B60FE1">
        <w:rPr>
          <w:rFonts w:eastAsia="標楷體"/>
        </w:rPr>
        <w:t xml:space="preserve">, and formally approved by </w:t>
      </w:r>
      <w:r w:rsidR="00BC660D" w:rsidRPr="00B60FE1">
        <w:rPr>
          <w:rFonts w:eastAsia="標楷體"/>
        </w:rPr>
        <w:t>National Taiwan University</w:t>
      </w:r>
      <w:r w:rsidRPr="00B60FE1">
        <w:rPr>
          <w:rFonts w:eastAsia="標楷體"/>
        </w:rPr>
        <w:t>. The administrative service and fee pertaining to this type of scholar are to be implemented in accordance with the bilateral agreement.</w:t>
      </w:r>
    </w:p>
    <w:p w:rsidR="0023569A" w:rsidRPr="00B60FE1" w:rsidRDefault="0023569A" w:rsidP="0023569A">
      <w:pPr>
        <w:pStyle w:val="ListParagraph"/>
        <w:numPr>
          <w:ilvl w:val="0"/>
          <w:numId w:val="2"/>
        </w:numPr>
        <w:ind w:leftChars="0"/>
      </w:pPr>
      <w:r w:rsidRPr="00B60FE1">
        <w:rPr>
          <w:rFonts w:eastAsia="標楷體"/>
        </w:rPr>
        <w:t xml:space="preserve">A non-exchange scholar is a scholar who is invited by </w:t>
      </w:r>
      <w:r w:rsidR="00BC660D" w:rsidRPr="00B60FE1">
        <w:rPr>
          <w:rFonts w:eastAsia="標楷體"/>
        </w:rPr>
        <w:t>National Taiwan University</w:t>
      </w:r>
      <w:r w:rsidRPr="00B60FE1">
        <w:rPr>
          <w:rFonts w:eastAsia="標楷體"/>
        </w:rPr>
        <w:t xml:space="preserve"> however not categorized by any condition listed above. A non-exchange scholar will obtain administrative service </w:t>
      </w:r>
      <w:r w:rsidR="00A122B9" w:rsidRPr="00B60FE1">
        <w:rPr>
          <w:rFonts w:eastAsia="標楷體"/>
        </w:rPr>
        <w:t>from respective administrative and academic units on a fee-paying basis</w:t>
      </w:r>
      <w:r w:rsidRPr="00B60FE1">
        <w:rPr>
          <w:rFonts w:eastAsia="標楷體"/>
        </w:rPr>
        <w:t>.</w:t>
      </w:r>
      <w:r w:rsidR="00A122B9" w:rsidRPr="00B60FE1">
        <w:rPr>
          <w:rFonts w:eastAsia="標楷體"/>
        </w:rPr>
        <w:t xml:space="preserve"> The administrative fee may be waived for scholars working on specified projects commissioned by the Taiwan government or National Taiwan University.</w:t>
      </w:r>
    </w:p>
    <w:p w:rsidR="00A122B9" w:rsidRPr="00B60FE1" w:rsidRDefault="00A122B9" w:rsidP="00A122B9">
      <w:pPr>
        <w:pStyle w:val="ListParagraph"/>
        <w:ind w:leftChars="0" w:left="927"/>
      </w:pPr>
    </w:p>
    <w:p w:rsidR="0023569A" w:rsidRPr="00B60FE1" w:rsidRDefault="0023569A" w:rsidP="0023569A">
      <w:pPr>
        <w:pStyle w:val="ListParagraph"/>
        <w:numPr>
          <w:ilvl w:val="0"/>
          <w:numId w:val="1"/>
        </w:numPr>
        <w:ind w:leftChars="0"/>
      </w:pPr>
      <w:r w:rsidRPr="00B60FE1">
        <w:rPr>
          <w:rFonts w:eastAsia="標楷體"/>
        </w:rPr>
        <w:t>Arrangements pertaining to foreign scholar services are to be implemented in accordance with the following rules:</w:t>
      </w:r>
    </w:p>
    <w:p w:rsidR="0023569A" w:rsidRPr="00B60FE1" w:rsidRDefault="0023569A" w:rsidP="0023569A">
      <w:pPr>
        <w:pStyle w:val="ListParagraph"/>
        <w:numPr>
          <w:ilvl w:val="0"/>
          <w:numId w:val="4"/>
        </w:numPr>
        <w:ind w:leftChars="0"/>
      </w:pPr>
      <w:r w:rsidRPr="00B60FE1">
        <w:rPr>
          <w:rFonts w:eastAsia="標楷體"/>
        </w:rPr>
        <w:t xml:space="preserve">Administrative service: </w:t>
      </w:r>
      <w:r w:rsidR="00A122B9" w:rsidRPr="00B60FE1">
        <w:rPr>
          <w:rFonts w:eastAsia="標楷體"/>
        </w:rPr>
        <w:t xml:space="preserve">The </w:t>
      </w:r>
      <w:r w:rsidRPr="00B60FE1">
        <w:rPr>
          <w:rFonts w:eastAsia="標楷體"/>
        </w:rPr>
        <w:t xml:space="preserve">Office of International Affairs will be in charge of general arrangement and coordination, and providing optional services such as </w:t>
      </w:r>
      <w:r w:rsidR="00B60FE1" w:rsidRPr="00B60FE1">
        <w:rPr>
          <w:rFonts w:eastAsia="標楷體"/>
        </w:rPr>
        <w:t xml:space="preserve">the </w:t>
      </w:r>
      <w:r w:rsidRPr="00B60FE1">
        <w:rPr>
          <w:rFonts w:eastAsia="標楷體"/>
        </w:rPr>
        <w:t xml:space="preserve">international scholar handbook, welcome </w:t>
      </w:r>
      <w:r w:rsidR="00B60FE1" w:rsidRPr="00B60FE1">
        <w:rPr>
          <w:rFonts w:eastAsia="標楷體"/>
        </w:rPr>
        <w:t>package</w:t>
      </w:r>
      <w:r w:rsidRPr="00B60FE1">
        <w:rPr>
          <w:rFonts w:eastAsia="標楷體"/>
        </w:rPr>
        <w:t xml:space="preserve">, </w:t>
      </w:r>
      <w:r w:rsidR="00B60FE1" w:rsidRPr="00B60FE1">
        <w:rPr>
          <w:rFonts w:eastAsia="標楷體"/>
        </w:rPr>
        <w:t>accommodation</w:t>
      </w:r>
      <w:r w:rsidRPr="00B60FE1">
        <w:rPr>
          <w:rFonts w:eastAsia="標楷體"/>
        </w:rPr>
        <w:t xml:space="preserve"> information, campus tour, NTU ID card, </w:t>
      </w:r>
      <w:r w:rsidR="00A122B9" w:rsidRPr="00B60FE1">
        <w:rPr>
          <w:rFonts w:eastAsia="標楷體"/>
        </w:rPr>
        <w:t>WiFi access</w:t>
      </w:r>
      <w:r w:rsidRPr="00B60FE1">
        <w:rPr>
          <w:rFonts w:eastAsia="標楷體"/>
        </w:rPr>
        <w:t>, library service</w:t>
      </w:r>
      <w:r w:rsidR="00A122B9" w:rsidRPr="00B60FE1">
        <w:rPr>
          <w:rFonts w:eastAsia="標楷體"/>
        </w:rPr>
        <w:t>s</w:t>
      </w:r>
      <w:r w:rsidRPr="00B60FE1">
        <w:rPr>
          <w:rFonts w:eastAsia="標楷體"/>
        </w:rPr>
        <w:t xml:space="preserve">, </w:t>
      </w:r>
      <w:r w:rsidR="00A122B9" w:rsidRPr="00B60FE1">
        <w:rPr>
          <w:rFonts w:eastAsia="標楷體"/>
        </w:rPr>
        <w:t xml:space="preserve">and other fee-paying services such as </w:t>
      </w:r>
      <w:r w:rsidRPr="00B60FE1">
        <w:rPr>
          <w:rFonts w:eastAsia="標楷體"/>
        </w:rPr>
        <w:t>airport pickup, insurance and parking license.</w:t>
      </w:r>
    </w:p>
    <w:p w:rsidR="0023569A" w:rsidRPr="00B60FE1" w:rsidRDefault="0023569A" w:rsidP="0023569A">
      <w:pPr>
        <w:pStyle w:val="ListParagraph"/>
        <w:numPr>
          <w:ilvl w:val="0"/>
          <w:numId w:val="4"/>
        </w:numPr>
        <w:ind w:leftChars="0"/>
      </w:pPr>
      <w:r w:rsidRPr="00B60FE1">
        <w:rPr>
          <w:rFonts w:eastAsia="標楷體"/>
        </w:rPr>
        <w:t xml:space="preserve">Academic service: </w:t>
      </w:r>
      <w:r w:rsidR="00B60FE1" w:rsidRPr="00B60FE1">
        <w:rPr>
          <w:rFonts w:eastAsia="標楷體"/>
        </w:rPr>
        <w:t>the h</w:t>
      </w:r>
      <w:r w:rsidRPr="00B60FE1">
        <w:rPr>
          <w:rFonts w:eastAsia="標楷體"/>
        </w:rPr>
        <w:t>ost department will be in charge of general academic and related administrative services.</w:t>
      </w:r>
    </w:p>
    <w:p w:rsidR="00A122B9" w:rsidRPr="00B60FE1" w:rsidRDefault="00A122B9" w:rsidP="00A122B9">
      <w:pPr>
        <w:pStyle w:val="ListParagraph"/>
        <w:ind w:leftChars="0" w:left="1080"/>
      </w:pPr>
    </w:p>
    <w:p w:rsidR="0023569A" w:rsidRPr="00B60FE1" w:rsidRDefault="00B60FE1" w:rsidP="0023569A">
      <w:pPr>
        <w:pStyle w:val="ListParagraph"/>
        <w:numPr>
          <w:ilvl w:val="0"/>
          <w:numId w:val="1"/>
        </w:numPr>
        <w:ind w:leftChars="0"/>
      </w:pPr>
      <w:r w:rsidRPr="00B60FE1">
        <w:rPr>
          <w:rFonts w:eastAsia="標楷體"/>
        </w:rPr>
        <w:t>Visiting</w:t>
      </w:r>
      <w:r w:rsidR="0023569A" w:rsidRPr="00B60FE1">
        <w:rPr>
          <w:rFonts w:eastAsia="標楷體"/>
        </w:rPr>
        <w:t xml:space="preserve"> scholar application procedure</w:t>
      </w:r>
      <w:r w:rsidRPr="00B60FE1">
        <w:rPr>
          <w:rFonts w:eastAsia="標楷體"/>
        </w:rPr>
        <w:t>:</w:t>
      </w:r>
    </w:p>
    <w:p w:rsidR="0023569A" w:rsidRPr="00B60FE1" w:rsidRDefault="00B60FE1" w:rsidP="0023569A">
      <w:pPr>
        <w:pStyle w:val="ListParagraph"/>
        <w:numPr>
          <w:ilvl w:val="0"/>
          <w:numId w:val="5"/>
        </w:numPr>
        <w:ind w:leftChars="0"/>
      </w:pPr>
      <w:r w:rsidRPr="00B60FE1">
        <w:t>Visiting</w:t>
      </w:r>
      <w:r w:rsidR="0023569A" w:rsidRPr="00B60FE1">
        <w:t xml:space="preserve"> scholar </w:t>
      </w:r>
      <w:r w:rsidRPr="00B60FE1">
        <w:t xml:space="preserve">sends an application to </w:t>
      </w:r>
      <w:r w:rsidR="00BC660D" w:rsidRPr="00B60FE1">
        <w:rPr>
          <w:rFonts w:eastAsia="標楷體"/>
        </w:rPr>
        <w:t>National Taiwan University</w:t>
      </w:r>
      <w:r w:rsidRPr="00B60FE1">
        <w:rPr>
          <w:rFonts w:eastAsia="標楷體"/>
        </w:rPr>
        <w:t>’s</w:t>
      </w:r>
      <w:r w:rsidR="0023569A" w:rsidRPr="00B60FE1">
        <w:t xml:space="preserve"> department</w:t>
      </w:r>
      <w:r w:rsidRPr="00B60FE1">
        <w:t xml:space="preserve"> or professor</w:t>
      </w:r>
      <w:r w:rsidR="0023569A" w:rsidRPr="00B60FE1">
        <w:t>. Application requirement</w:t>
      </w:r>
      <w:r w:rsidRPr="00B60FE1">
        <w:t>s</w:t>
      </w:r>
      <w:r w:rsidR="0023569A" w:rsidRPr="00B60FE1">
        <w:t>, document</w:t>
      </w:r>
      <w:r w:rsidRPr="00B60FE1">
        <w:t>ations</w:t>
      </w:r>
      <w:r w:rsidR="0023569A" w:rsidRPr="00B60FE1">
        <w:t xml:space="preserve"> and </w:t>
      </w:r>
      <w:r w:rsidR="0023569A" w:rsidRPr="00B60FE1">
        <w:lastRenderedPageBreak/>
        <w:t xml:space="preserve">evaluation </w:t>
      </w:r>
      <w:r w:rsidRPr="00B60FE1">
        <w:t>criteria</w:t>
      </w:r>
      <w:r w:rsidR="0023569A" w:rsidRPr="00B60FE1">
        <w:t xml:space="preserve"> are to be set by </w:t>
      </w:r>
      <w:r w:rsidRPr="00B60FE1">
        <w:t>each</w:t>
      </w:r>
      <w:r w:rsidR="0023569A" w:rsidRPr="00B60FE1">
        <w:t xml:space="preserve"> department.</w:t>
      </w:r>
    </w:p>
    <w:p w:rsidR="0023569A" w:rsidRPr="00B60FE1" w:rsidRDefault="0023569A" w:rsidP="0023569A">
      <w:pPr>
        <w:pStyle w:val="ListParagraph"/>
        <w:numPr>
          <w:ilvl w:val="0"/>
          <w:numId w:val="5"/>
        </w:numPr>
        <w:ind w:leftChars="0"/>
      </w:pPr>
      <w:r w:rsidRPr="00B60FE1">
        <w:t>The department</w:t>
      </w:r>
      <w:r w:rsidR="00B60FE1" w:rsidRPr="00B60FE1">
        <w:t>/professor</w:t>
      </w:r>
      <w:r w:rsidRPr="00B60FE1">
        <w:t xml:space="preserve"> replies to the applicant. If approved, then an invitation letter s</w:t>
      </w:r>
      <w:r w:rsidR="00B60FE1" w:rsidRPr="00B60FE1">
        <w:t xml:space="preserve">hould be sent to </w:t>
      </w:r>
      <w:r w:rsidRPr="00B60FE1">
        <w:t xml:space="preserve">the applicant and </w:t>
      </w:r>
      <w:r w:rsidR="00B60FE1" w:rsidRPr="00B60FE1">
        <w:t xml:space="preserve">the </w:t>
      </w:r>
      <w:r w:rsidRPr="00B60FE1">
        <w:t>Office of International Affairs</w:t>
      </w:r>
      <w:r w:rsidR="00B60FE1" w:rsidRPr="00B60FE1">
        <w:t xml:space="preserve"> should be notified</w:t>
      </w:r>
      <w:r w:rsidRPr="00B60FE1">
        <w:t>.</w:t>
      </w:r>
    </w:p>
    <w:p w:rsidR="0023569A" w:rsidRPr="00B60FE1" w:rsidRDefault="0023569A" w:rsidP="0023569A">
      <w:pPr>
        <w:pStyle w:val="ListParagraph"/>
        <w:numPr>
          <w:ilvl w:val="0"/>
          <w:numId w:val="5"/>
        </w:numPr>
        <w:ind w:leftChars="0"/>
      </w:pPr>
      <w:r w:rsidRPr="00B60FE1">
        <w:t xml:space="preserve">All </w:t>
      </w:r>
      <w:r w:rsidR="00B60FE1" w:rsidRPr="00B60FE1">
        <w:t>visiting</w:t>
      </w:r>
      <w:r w:rsidRPr="00B60FE1">
        <w:t xml:space="preserve"> scholars should complete the p</w:t>
      </w:r>
      <w:r w:rsidR="00B60FE1" w:rsidRPr="00B60FE1">
        <w:t>ayment according to regulation 5</w:t>
      </w:r>
      <w:r w:rsidRPr="00B60FE1">
        <w:t xml:space="preserve"> listed below no later than one month before arrival. Scholar</w:t>
      </w:r>
      <w:r w:rsidR="00B60FE1" w:rsidRPr="00B60FE1">
        <w:t>s</w:t>
      </w:r>
      <w:r w:rsidRPr="00B60FE1">
        <w:t xml:space="preserve"> who </w:t>
      </w:r>
      <w:r w:rsidR="00B60FE1" w:rsidRPr="00B60FE1">
        <w:t>have</w:t>
      </w:r>
      <w:r w:rsidRPr="00B60FE1">
        <w:t xml:space="preserve"> specified </w:t>
      </w:r>
      <w:r w:rsidR="00B60FE1" w:rsidRPr="00B60FE1">
        <w:t>agreement</w:t>
      </w:r>
      <w:r w:rsidRPr="00B60FE1">
        <w:t xml:space="preserve"> with </w:t>
      </w:r>
      <w:r w:rsidR="00BC660D" w:rsidRPr="00B60FE1">
        <w:rPr>
          <w:rFonts w:eastAsia="標楷體"/>
        </w:rPr>
        <w:t>National Taiwan University</w:t>
      </w:r>
      <w:r w:rsidRPr="00B60FE1">
        <w:t xml:space="preserve"> </w:t>
      </w:r>
      <w:r w:rsidR="00B60FE1">
        <w:t>will not be subjected</w:t>
      </w:r>
      <w:r w:rsidRPr="00B60FE1">
        <w:t xml:space="preserve"> to this rule.</w:t>
      </w:r>
    </w:p>
    <w:p w:rsidR="0023569A" w:rsidRPr="00B60FE1" w:rsidRDefault="0023569A" w:rsidP="0023569A"/>
    <w:p w:rsidR="00B60FE1" w:rsidRPr="00B60FE1" w:rsidRDefault="00B60FE1" w:rsidP="00B60FE1">
      <w:pPr>
        <w:pStyle w:val="ListParagraph"/>
        <w:numPr>
          <w:ilvl w:val="0"/>
          <w:numId w:val="1"/>
        </w:numPr>
        <w:ind w:leftChars="0"/>
      </w:pPr>
      <w:r w:rsidRPr="00B60FE1">
        <w:rPr>
          <w:rFonts w:eastAsia="標楷體"/>
        </w:rPr>
        <w:t>Visiting</w:t>
      </w:r>
      <w:r w:rsidR="0023569A" w:rsidRPr="00B60FE1">
        <w:rPr>
          <w:rFonts w:eastAsia="標楷體"/>
        </w:rPr>
        <w:t xml:space="preserve"> scholar</w:t>
      </w:r>
      <w:r w:rsidRPr="00B60FE1">
        <w:rPr>
          <w:rFonts w:eastAsia="標楷體"/>
        </w:rPr>
        <w:t>s</w:t>
      </w:r>
      <w:r w:rsidR="0023569A" w:rsidRPr="00B60FE1">
        <w:rPr>
          <w:rFonts w:eastAsia="標楷體"/>
        </w:rPr>
        <w:t xml:space="preserve"> </w:t>
      </w:r>
      <w:r w:rsidRPr="00B60FE1">
        <w:rPr>
          <w:rFonts w:eastAsia="標楷體"/>
        </w:rPr>
        <w:t>fee payment:</w:t>
      </w:r>
    </w:p>
    <w:p w:rsidR="00B60FE1" w:rsidRPr="00B60FE1" w:rsidRDefault="00B60FE1" w:rsidP="00B60FE1">
      <w:pPr>
        <w:pStyle w:val="ListParagraph"/>
        <w:numPr>
          <w:ilvl w:val="0"/>
          <w:numId w:val="9"/>
        </w:numPr>
        <w:ind w:leftChars="0"/>
      </w:pPr>
    </w:p>
    <w:tbl>
      <w:tblPr>
        <w:tblW w:w="8025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5528"/>
      </w:tblGrid>
      <w:tr w:rsidR="00A4736D" w:rsidRPr="00B60FE1" w:rsidTr="00482D4D">
        <w:tc>
          <w:tcPr>
            <w:tcW w:w="2497" w:type="dxa"/>
            <w:shd w:val="clear" w:color="auto" w:fill="D9D9D9" w:themeFill="background1" w:themeFillShade="D9"/>
          </w:tcPr>
          <w:p w:rsidR="00A4736D" w:rsidRPr="00B60FE1" w:rsidRDefault="00A4736D" w:rsidP="0008082F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60FE1">
              <w:rPr>
                <w:rFonts w:eastAsia="標楷體"/>
                <w:b/>
              </w:rPr>
              <w:t>Identity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4736D" w:rsidRPr="00B60FE1" w:rsidRDefault="00482D4D" w:rsidP="0008082F">
            <w:pPr>
              <w:tabs>
                <w:tab w:val="right" w:pos="3932"/>
              </w:tabs>
              <w:spacing w:line="4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University </w:t>
            </w:r>
            <w:r w:rsidR="00B60FE1">
              <w:rPr>
                <w:rFonts w:eastAsia="標楷體"/>
                <w:b/>
              </w:rPr>
              <w:t>Fee</w:t>
            </w:r>
          </w:p>
        </w:tc>
      </w:tr>
      <w:tr w:rsidR="00A4736D" w:rsidRPr="00B60FE1" w:rsidTr="00482D4D">
        <w:tc>
          <w:tcPr>
            <w:tcW w:w="2497" w:type="dxa"/>
          </w:tcPr>
          <w:p w:rsidR="00A4736D" w:rsidRPr="00B60FE1" w:rsidRDefault="00A4736D" w:rsidP="0008082F">
            <w:pPr>
              <w:spacing w:line="480" w:lineRule="exact"/>
              <w:rPr>
                <w:rFonts w:eastAsia="標楷體"/>
              </w:rPr>
            </w:pPr>
            <w:r w:rsidRPr="00B60FE1">
              <w:rPr>
                <w:rFonts w:eastAsia="標楷體"/>
              </w:rPr>
              <w:t xml:space="preserve">Exchange scholar </w:t>
            </w:r>
          </w:p>
        </w:tc>
        <w:tc>
          <w:tcPr>
            <w:tcW w:w="5528" w:type="dxa"/>
          </w:tcPr>
          <w:p w:rsidR="00A4736D" w:rsidRPr="00B60FE1" w:rsidRDefault="00A4736D" w:rsidP="0008082F">
            <w:pPr>
              <w:spacing w:line="480" w:lineRule="exact"/>
              <w:rPr>
                <w:rFonts w:eastAsia="標楷體"/>
              </w:rPr>
            </w:pPr>
            <w:r w:rsidRPr="00B60FE1">
              <w:rPr>
                <w:rFonts w:eastAsia="標楷體"/>
              </w:rPr>
              <w:t>In accordance with the exchange scholar agreement.</w:t>
            </w:r>
          </w:p>
        </w:tc>
      </w:tr>
      <w:tr w:rsidR="00A4736D" w:rsidRPr="00482D4D" w:rsidTr="00482D4D">
        <w:tc>
          <w:tcPr>
            <w:tcW w:w="2497" w:type="dxa"/>
          </w:tcPr>
          <w:p w:rsidR="00A4736D" w:rsidRPr="00B60FE1" w:rsidRDefault="00A4736D" w:rsidP="0008082F">
            <w:pPr>
              <w:spacing w:line="480" w:lineRule="exact"/>
              <w:rPr>
                <w:rFonts w:eastAsia="標楷體"/>
              </w:rPr>
            </w:pPr>
            <w:r w:rsidRPr="00B60FE1">
              <w:rPr>
                <w:rFonts w:eastAsia="標楷體"/>
              </w:rPr>
              <w:t>Non- exchange scholar</w:t>
            </w:r>
          </w:p>
        </w:tc>
        <w:tc>
          <w:tcPr>
            <w:tcW w:w="5528" w:type="dxa"/>
          </w:tcPr>
          <w:p w:rsidR="00482D4D" w:rsidRDefault="00A4736D" w:rsidP="0008082F">
            <w:pPr>
              <w:spacing w:line="480" w:lineRule="exact"/>
              <w:ind w:leftChars="3" w:left="1826" w:hangingChars="758" w:hanging="1819"/>
              <w:rPr>
                <w:rFonts w:eastAsia="標楷體"/>
              </w:rPr>
            </w:pPr>
            <w:r w:rsidRPr="00B60FE1">
              <w:rPr>
                <w:rFonts w:eastAsia="標楷體"/>
              </w:rPr>
              <w:t xml:space="preserve">                </w:t>
            </w:r>
            <w:r w:rsidR="00482D4D">
              <w:rPr>
                <w:rFonts w:eastAsia="標楷體"/>
              </w:rPr>
              <w:t>1-14 days: TWD 6,000</w:t>
            </w:r>
          </w:p>
          <w:p w:rsidR="00482D4D" w:rsidRDefault="00482D4D" w:rsidP="00482D4D">
            <w:pPr>
              <w:spacing w:line="480" w:lineRule="exact"/>
              <w:ind w:leftChars="3" w:left="1826" w:hangingChars="758" w:hanging="1819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                15-30 days: TWD 10,000</w:t>
            </w:r>
          </w:p>
          <w:p w:rsidR="00A4736D" w:rsidRPr="00B60FE1" w:rsidRDefault="00482D4D" w:rsidP="00482D4D">
            <w:pPr>
              <w:spacing w:line="480" w:lineRule="exact"/>
              <w:ind w:leftChars="753" w:left="1807"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31</w:t>
            </w:r>
            <w:r w:rsidR="00A4736D" w:rsidRPr="00B60FE1">
              <w:rPr>
                <w:rFonts w:eastAsia="標楷體"/>
              </w:rPr>
              <w:t>-90 days</w:t>
            </w:r>
            <w:r w:rsidR="00A4736D" w:rsidRPr="00B60FE1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TWD 15,000</w:t>
            </w:r>
          </w:p>
          <w:p w:rsidR="00A4736D" w:rsidRPr="00B60FE1" w:rsidRDefault="00A4736D" w:rsidP="0008082F">
            <w:pPr>
              <w:spacing w:line="480" w:lineRule="exact"/>
              <w:ind w:leftChars="3" w:left="1826" w:hangingChars="758" w:hanging="1819"/>
              <w:rPr>
                <w:rFonts w:eastAsia="標楷體"/>
              </w:rPr>
            </w:pPr>
            <w:r w:rsidRPr="00B60FE1">
              <w:rPr>
                <w:rFonts w:eastAsia="標楷體"/>
              </w:rPr>
              <w:t xml:space="preserve">                91-180 days</w:t>
            </w:r>
            <w:r w:rsidRPr="00B60FE1">
              <w:rPr>
                <w:rFonts w:eastAsia="標楷體"/>
              </w:rPr>
              <w:t>：</w:t>
            </w:r>
            <w:r w:rsidRPr="00B60FE1">
              <w:rPr>
                <w:rFonts w:eastAsia="標楷體"/>
              </w:rPr>
              <w:t>TWD</w:t>
            </w:r>
            <w:r w:rsidR="00B60FE1">
              <w:rPr>
                <w:rFonts w:eastAsia="標楷體"/>
              </w:rPr>
              <w:t xml:space="preserve"> </w:t>
            </w:r>
            <w:r w:rsidR="00482D4D">
              <w:rPr>
                <w:rFonts w:eastAsia="標楷體"/>
              </w:rPr>
              <w:t>26,000</w:t>
            </w:r>
          </w:p>
          <w:p w:rsidR="00A4736D" w:rsidRPr="00B60FE1" w:rsidRDefault="00A4736D" w:rsidP="00482D4D">
            <w:pPr>
              <w:spacing w:line="480" w:lineRule="exact"/>
              <w:ind w:leftChars="3" w:left="1826" w:hangingChars="758" w:hanging="1819"/>
              <w:rPr>
                <w:rFonts w:eastAsia="標楷體" w:hint="eastAsia"/>
              </w:rPr>
            </w:pPr>
            <w:r w:rsidRPr="00B60FE1">
              <w:rPr>
                <w:rFonts w:eastAsia="標楷體"/>
              </w:rPr>
              <w:t xml:space="preserve">                181 days</w:t>
            </w:r>
            <w:r w:rsidR="00482D4D">
              <w:rPr>
                <w:rFonts w:eastAsia="標楷體"/>
              </w:rPr>
              <w:t xml:space="preserve"> – 1 year</w:t>
            </w:r>
            <w:r w:rsidRPr="00B60FE1">
              <w:rPr>
                <w:rFonts w:eastAsia="標楷體"/>
              </w:rPr>
              <w:t>：</w:t>
            </w:r>
            <w:r w:rsidR="00482D4D">
              <w:rPr>
                <w:rFonts w:eastAsia="標楷體"/>
              </w:rPr>
              <w:t>TWD 46,000</w:t>
            </w:r>
          </w:p>
        </w:tc>
        <w:bookmarkStart w:id="0" w:name="_GoBack"/>
        <w:bookmarkEnd w:id="0"/>
      </w:tr>
    </w:tbl>
    <w:p w:rsidR="00B60FE1" w:rsidRPr="00B60FE1" w:rsidRDefault="00B60FE1" w:rsidP="00B60FE1"/>
    <w:p w:rsidR="00A4736D" w:rsidRPr="00B60FE1" w:rsidRDefault="00A4736D" w:rsidP="00B60FE1">
      <w:pPr>
        <w:pStyle w:val="ListParagraph"/>
        <w:numPr>
          <w:ilvl w:val="0"/>
          <w:numId w:val="9"/>
        </w:numPr>
        <w:ind w:leftChars="0"/>
      </w:pPr>
      <w:r w:rsidRPr="00B60FE1">
        <w:t>Airport pickup service, insurance and parking license are optional services and thus are to be charge with additional fees. NTU ID card reissue fee is TWD 150.</w:t>
      </w:r>
    </w:p>
    <w:p w:rsidR="0023569A" w:rsidRPr="00B60FE1" w:rsidRDefault="0023569A" w:rsidP="0023569A">
      <w:pPr>
        <w:pStyle w:val="ListParagraph"/>
        <w:ind w:leftChars="0" w:left="720"/>
      </w:pPr>
    </w:p>
    <w:p w:rsidR="0023569A" w:rsidRPr="00B60FE1" w:rsidRDefault="0023569A" w:rsidP="00B60FE1">
      <w:pPr>
        <w:pStyle w:val="ListParagraph"/>
        <w:numPr>
          <w:ilvl w:val="0"/>
          <w:numId w:val="1"/>
        </w:numPr>
        <w:ind w:leftChars="0"/>
      </w:pPr>
      <w:r w:rsidRPr="00B60FE1">
        <w:t xml:space="preserve">Both </w:t>
      </w:r>
      <w:r w:rsidR="00B60FE1">
        <w:t xml:space="preserve">the </w:t>
      </w:r>
      <w:r w:rsidRPr="00B60FE1">
        <w:t xml:space="preserve">administrative fee and academic fee will </w:t>
      </w:r>
      <w:r w:rsidR="00B60FE1">
        <w:t xml:space="preserve">be a one-time </w:t>
      </w:r>
      <w:r w:rsidRPr="00B60FE1">
        <w:t>non</w:t>
      </w:r>
      <w:r w:rsidR="00A4736D" w:rsidRPr="00B60FE1">
        <w:t>-</w:t>
      </w:r>
      <w:r w:rsidRPr="00B60FE1">
        <w:t>refundable</w:t>
      </w:r>
      <w:r w:rsidR="00B60FE1">
        <w:t xml:space="preserve"> fee.</w:t>
      </w:r>
    </w:p>
    <w:p w:rsidR="0023569A" w:rsidRPr="00B60FE1" w:rsidRDefault="0023569A" w:rsidP="0023569A">
      <w:pPr>
        <w:pStyle w:val="ListParagraph"/>
        <w:numPr>
          <w:ilvl w:val="0"/>
          <w:numId w:val="1"/>
        </w:numPr>
        <w:ind w:leftChars="0"/>
      </w:pPr>
      <w:r w:rsidRPr="00B60FE1">
        <w:t>Other issues n</w:t>
      </w:r>
      <w:r w:rsidR="00B60FE1">
        <w:t>ot specified in this policy</w:t>
      </w:r>
      <w:r w:rsidRPr="00B60FE1">
        <w:t xml:space="preserve"> will be implemented in accordance with the regulations set by Ministry of Education and </w:t>
      </w:r>
      <w:r w:rsidR="00900F17" w:rsidRPr="00B60FE1">
        <w:rPr>
          <w:rFonts w:eastAsia="標楷體"/>
        </w:rPr>
        <w:t>National Taiwan University</w:t>
      </w:r>
      <w:r w:rsidRPr="00B60FE1">
        <w:t>.</w:t>
      </w:r>
    </w:p>
    <w:p w:rsidR="0023569A" w:rsidRPr="00B60FE1" w:rsidRDefault="00B60FE1" w:rsidP="0023569A">
      <w:pPr>
        <w:pStyle w:val="ListParagraph"/>
        <w:numPr>
          <w:ilvl w:val="0"/>
          <w:numId w:val="1"/>
        </w:numPr>
        <w:ind w:leftChars="0"/>
      </w:pPr>
      <w:r>
        <w:t>This policy is approved</w:t>
      </w:r>
      <w:r w:rsidR="0023569A" w:rsidRPr="00B60FE1">
        <w:t xml:space="preserve"> by </w:t>
      </w:r>
      <w:r w:rsidR="00900F17" w:rsidRPr="00B60FE1">
        <w:rPr>
          <w:rFonts w:eastAsia="標楷體"/>
        </w:rPr>
        <w:t>National Taiwan University</w:t>
      </w:r>
      <w:r>
        <w:rPr>
          <w:rFonts w:eastAsia="標楷體"/>
        </w:rPr>
        <w:t>’s</w:t>
      </w:r>
      <w:r w:rsidR="0023569A" w:rsidRPr="00B60FE1">
        <w:t xml:space="preserve"> Administration </w:t>
      </w:r>
      <w:r>
        <w:t>Board</w:t>
      </w:r>
      <w:r>
        <w:rPr>
          <w:rFonts w:hint="eastAsia"/>
        </w:rPr>
        <w:t xml:space="preserve"> C</w:t>
      </w:r>
      <w:r>
        <w:t>ommittee</w:t>
      </w:r>
      <w:r w:rsidR="0023569A" w:rsidRPr="00B60FE1">
        <w:t xml:space="preserve"> and will be </w:t>
      </w:r>
      <w:r w:rsidR="00900F17" w:rsidRPr="00B60FE1">
        <w:t>enacted</w:t>
      </w:r>
      <w:r w:rsidR="0023569A" w:rsidRPr="00B60FE1">
        <w:t xml:space="preserve"> from </w:t>
      </w:r>
      <w:r>
        <w:t>August</w:t>
      </w:r>
      <w:r w:rsidR="0023569A" w:rsidRPr="00B60FE1">
        <w:t xml:space="preserve"> 2014.</w:t>
      </w:r>
    </w:p>
    <w:sectPr w:rsidR="0023569A" w:rsidRPr="00B60F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2E" w:rsidRDefault="007B562E" w:rsidP="007B562E">
      <w:r>
        <w:separator/>
      </w:r>
    </w:p>
  </w:endnote>
  <w:endnote w:type="continuationSeparator" w:id="0">
    <w:p w:rsidR="007B562E" w:rsidRDefault="007B562E" w:rsidP="007B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2E" w:rsidRDefault="007B562E" w:rsidP="007B562E">
      <w:r>
        <w:separator/>
      </w:r>
    </w:p>
  </w:footnote>
  <w:footnote w:type="continuationSeparator" w:id="0">
    <w:p w:rsidR="007B562E" w:rsidRDefault="007B562E" w:rsidP="007B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4A4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56219F"/>
    <w:multiLevelType w:val="hybridMultilevel"/>
    <w:tmpl w:val="E8DE27B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2B65F6"/>
    <w:multiLevelType w:val="hybridMultilevel"/>
    <w:tmpl w:val="F4A03112"/>
    <w:lvl w:ilvl="0" w:tplc="0409001B">
      <w:start w:val="1"/>
      <w:numFmt w:val="lowerRoman"/>
      <w:lvlText w:val="%1."/>
      <w:lvlJc w:val="righ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4996AE4"/>
    <w:multiLevelType w:val="hybridMultilevel"/>
    <w:tmpl w:val="EC50506E"/>
    <w:lvl w:ilvl="0" w:tplc="0409001B">
      <w:start w:val="1"/>
      <w:numFmt w:val="lowerRoman"/>
      <w:lvlText w:val="%1."/>
      <w:lvlJc w:val="righ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7F604B3"/>
    <w:multiLevelType w:val="hybridMultilevel"/>
    <w:tmpl w:val="9B50C49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26F5495"/>
    <w:multiLevelType w:val="hybridMultilevel"/>
    <w:tmpl w:val="9F52878A"/>
    <w:lvl w:ilvl="0" w:tplc="0409001B">
      <w:start w:val="1"/>
      <w:numFmt w:val="lowerRoman"/>
      <w:lvlText w:val="%1."/>
      <w:lvlJc w:val="right"/>
      <w:pPr>
        <w:ind w:left="927" w:hanging="36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428F176D"/>
    <w:multiLevelType w:val="hybridMultilevel"/>
    <w:tmpl w:val="BC1ADEDC"/>
    <w:lvl w:ilvl="0" w:tplc="9A7631EC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994173"/>
    <w:multiLevelType w:val="hybridMultilevel"/>
    <w:tmpl w:val="3D5C4A52"/>
    <w:lvl w:ilvl="0" w:tplc="C1F2D418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A8FEA050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60A2E8E"/>
    <w:multiLevelType w:val="hybridMultilevel"/>
    <w:tmpl w:val="0E20365C"/>
    <w:lvl w:ilvl="0" w:tplc="11D0A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9A"/>
    <w:rsid w:val="0023569A"/>
    <w:rsid w:val="0035025A"/>
    <w:rsid w:val="00443E2B"/>
    <w:rsid w:val="00482D4D"/>
    <w:rsid w:val="007B562E"/>
    <w:rsid w:val="00900F17"/>
    <w:rsid w:val="009A6476"/>
    <w:rsid w:val="009C13C8"/>
    <w:rsid w:val="00A122B9"/>
    <w:rsid w:val="00A4736D"/>
    <w:rsid w:val="00B60FE1"/>
    <w:rsid w:val="00BC660D"/>
    <w:rsid w:val="00C000A0"/>
    <w:rsid w:val="00D41518"/>
    <w:rsid w:val="00E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63C83C-7FB9-4C3E-A906-9A69CB6C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2B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3E2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443E2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443E2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link w:val="Heading4Char"/>
    <w:qFormat/>
    <w:rsid w:val="00443E2B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paragraph" w:styleId="Heading5">
    <w:name w:val="heading 5"/>
    <w:basedOn w:val="Normal"/>
    <w:next w:val="Normal"/>
    <w:link w:val="Heading5Char"/>
    <w:qFormat/>
    <w:rsid w:val="00443E2B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43E2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443E2B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E2B"/>
    <w:rPr>
      <w:rFonts w:ascii="Arial" w:hAnsi="Arial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443E2B"/>
    <w:rPr>
      <w:rFonts w:ascii="Arial" w:hAnsi="Arial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443E2B"/>
    <w:rPr>
      <w:rFonts w:ascii="Arial" w:hAnsi="Arial"/>
      <w:b/>
      <w:bCs/>
      <w:kern w:val="2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443E2B"/>
    <w:rPr>
      <w:rFonts w:ascii="新細明體" w:hAnsi="新細明體" w:cs="新細明體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43E2B"/>
    <w:rPr>
      <w:rFonts w:ascii="Arial" w:hAnsi="Arial"/>
      <w:b/>
      <w:bCs/>
      <w:kern w:val="2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443E2B"/>
    <w:rPr>
      <w:rFonts w:ascii="Arial" w:hAnsi="Arial"/>
      <w:kern w:val="2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443E2B"/>
    <w:rPr>
      <w:rFonts w:ascii="Arial" w:hAnsi="Arial"/>
      <w:b/>
      <w:bCs/>
      <w:kern w:val="2"/>
      <w:sz w:val="36"/>
      <w:szCs w:val="36"/>
    </w:rPr>
  </w:style>
  <w:style w:type="character" w:styleId="Strong">
    <w:name w:val="Strong"/>
    <w:qFormat/>
    <w:rsid w:val="00443E2B"/>
    <w:rPr>
      <w:b/>
      <w:bCs/>
    </w:rPr>
  </w:style>
  <w:style w:type="paragraph" w:styleId="ListParagraph">
    <w:name w:val="List Paragraph"/>
    <w:basedOn w:val="Normal"/>
    <w:uiPriority w:val="34"/>
    <w:qFormat/>
    <w:rsid w:val="0023569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B5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B562E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7B5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B56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21F2-0A69-4D63-A599-9D39CF72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CIAE</dc:creator>
  <cp:lastModifiedBy>USER</cp:lastModifiedBy>
  <cp:revision>2</cp:revision>
  <dcterms:created xsi:type="dcterms:W3CDTF">2014-11-12T01:42:00Z</dcterms:created>
  <dcterms:modified xsi:type="dcterms:W3CDTF">2014-11-12T01:42:00Z</dcterms:modified>
</cp:coreProperties>
</file>